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978ADE">
      <w:pPr>
        <w:spacing w:after="0" w:line="240" w:lineRule="auto"/>
        <w:jc w:val="center"/>
        <w:rPr>
          <w:rFonts w:ascii="Book Antiqua" w:hAnsi="Book Antiqua" w:eastAsia="Times New Roman" w:cs="Tahoma"/>
          <w:color w:val="auto"/>
          <w:sz w:val="24"/>
          <w:szCs w:val="24"/>
          <w:lang w:val="it-IT" w:eastAsia="it-IT"/>
        </w:rPr>
      </w:pPr>
      <w:r>
        <w:rPr>
          <w:rFonts w:ascii="Book Antiqua" w:hAnsi="Book Antiqua" w:eastAsia="Times New Roman" w:cs="Tahoma"/>
          <w:color w:val="auto"/>
          <w:sz w:val="24"/>
          <w:szCs w:val="24"/>
          <w:lang w:val="it-IT" w:eastAsia="it-IT"/>
        </w:rPr>
        <w:drawing>
          <wp:inline distT="0" distB="0" distL="0" distR="0">
            <wp:extent cx="638810" cy="730885"/>
            <wp:effectExtent l="0" t="0" r="8890" b="0"/>
            <wp:docPr id="923410805" name="Immagine 1" descr="Immagine che contiene testo, elettronica, schermata, softwa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410805" name="Immagine 1" descr="Immagine che contiene testo, elettronica, schermata, softwa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20" t="63889" r="46593" b="16975"/>
                    <a:stretch>
                      <a:fillRect/>
                    </a:stretch>
                  </pic:blipFill>
                  <pic:spPr>
                    <a:xfrm>
                      <a:off x="0" y="0"/>
                      <a:ext cx="63881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B73D5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  <w:lang w:val="it-IT" w:eastAsia="it-IT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lang w:val="it-IT" w:eastAsia="it-IT"/>
        </w:rPr>
        <w:t>Istituto Comprensivo “Umberto Postiglione”</w:t>
      </w:r>
    </w:p>
    <w:p w14:paraId="3DB91284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b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b/>
          <w:color w:val="auto"/>
          <w:sz w:val="16"/>
          <w:szCs w:val="16"/>
          <w:lang w:val="it-IT" w:eastAsia="it-IT"/>
        </w:rPr>
        <w:t>Scuola dell'Infanzia, Primaria e Secondaria di primo grado</w:t>
      </w:r>
    </w:p>
    <w:p w14:paraId="0008189D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Viale Medaglia d’oro G. Di Bartolo - 67027 RAIANO (AQ) </w:t>
      </w:r>
    </w:p>
    <w:p w14:paraId="51A4FD86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>Cod. Fisc. 83002930663 - Cod. Mec. AQIC82600E</w:t>
      </w:r>
    </w:p>
    <w:p w14:paraId="419EEA41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e-mail: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"mailto:aqic82600e@istruzione.it"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t>aqic82600e@istruzione.it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fldChar w:fldCharType="end"/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 – P.E.C.: </w:t>
      </w:r>
      <w:r>
        <w:rPr>
          <w:color w:val="auto"/>
        </w:rPr>
        <w:fldChar w:fldCharType="begin"/>
      </w:r>
      <w:r>
        <w:rPr>
          <w:color w:val="auto"/>
        </w:rPr>
        <w:instrText xml:space="preserve"> HYPERLINK "mailto:aqic82600e@pec.istruzione.it" </w:instrText>
      </w:r>
      <w:r>
        <w:rPr>
          <w:color w:val="auto"/>
        </w:rPr>
        <w:fldChar w:fldCharType="separate"/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t>aqic82600e@pec.istruzione.it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u w:val="single"/>
          <w:lang w:val="it-IT" w:eastAsia="it-IT"/>
        </w:rPr>
        <w:fldChar w:fldCharType="end"/>
      </w:r>
    </w:p>
    <w:p w14:paraId="088D884C">
      <w:pPr>
        <w:spacing w:after="0" w:line="240" w:lineRule="auto"/>
        <w:jc w:val="center"/>
        <w:outlineLvl w:val="0"/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</w:pP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>Tel. Uffici</w:t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ab/>
      </w:r>
      <w:r>
        <w:rPr>
          <w:rFonts w:ascii="Times New Roman" w:hAnsi="Times New Roman" w:eastAsia="Times New Roman" w:cs="Times New Roman"/>
          <w:color w:val="auto"/>
          <w:sz w:val="16"/>
          <w:szCs w:val="16"/>
          <w:lang w:val="it-IT" w:eastAsia="it-IT"/>
        </w:rPr>
        <w:t xml:space="preserve"> 0864/72334  </w:t>
      </w:r>
    </w:p>
    <w:p w14:paraId="7753A1A3">
      <w:pPr>
        <w:jc w:val="center"/>
        <w:rPr>
          <w:b/>
          <w:color w:val="auto"/>
        </w:rPr>
      </w:pPr>
    </w:p>
    <w:p w14:paraId="14B2FDC7">
      <w:pPr>
        <w:jc w:val="center"/>
        <w:rPr>
          <w:b/>
          <w:color w:val="auto"/>
        </w:rPr>
      </w:pPr>
    </w:p>
    <w:p w14:paraId="7E9D8E04">
      <w:pPr>
        <w:pStyle w:val="3"/>
        <w:jc w:val="center"/>
        <w:rPr>
          <w:color w:val="auto"/>
        </w:rPr>
      </w:pPr>
      <w:r>
        <w:rPr>
          <w:color w:val="auto"/>
        </w:rPr>
        <w:t>CODICE DI CONDOTTA INTERNO PER LA PREVENZIONE E IL CONTRASTO</w:t>
      </w:r>
      <w:r>
        <w:rPr>
          <w:color w:val="auto"/>
        </w:rPr>
        <w:br w:type="textWrapping"/>
      </w:r>
      <w:r>
        <w:rPr>
          <w:color w:val="auto"/>
        </w:rPr>
        <w:t>DI BULLISMO E CYBERBULLISMO</w:t>
      </w:r>
      <w:r>
        <w:rPr>
          <w:color w:val="auto"/>
        </w:rPr>
        <w:br w:type="textWrapping"/>
      </w:r>
    </w:p>
    <w:p w14:paraId="417032E8">
      <w:pPr>
        <w:pStyle w:val="2"/>
        <w:rPr>
          <w:color w:val="auto"/>
        </w:rPr>
      </w:pPr>
      <w:r>
        <w:rPr>
          <w:color w:val="auto"/>
        </w:rPr>
        <w:t>1. Finalità</w:t>
      </w:r>
    </w:p>
    <w:p w14:paraId="085DD2D7">
      <w:pPr>
        <w:jc w:val="both"/>
        <w:rPr>
          <w:color w:val="auto"/>
        </w:rPr>
      </w:pPr>
      <w:r>
        <w:rPr>
          <w:color w:val="auto"/>
        </w:rPr>
        <w:t>Il presente Codice di Condotta definisce norme, comportamenti attesi e obblighi per tutti i membri della comunità scolastica dell’Istituto Comprensivo Raiano (AQ), in conformità con:</w:t>
      </w:r>
    </w:p>
    <w:p w14:paraId="126E2C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>• Linee di orientamento MiM 2021</w:t>
      </w:r>
      <w:r>
        <w:rPr>
          <w:rFonts w:hint="default"/>
          <w:color w:val="auto"/>
          <w:lang w:val="it-IT"/>
        </w:rPr>
        <w:t>;</w:t>
      </w:r>
    </w:p>
    <w:p w14:paraId="27ABB6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>• Legge 70/2024</w:t>
      </w:r>
      <w:r>
        <w:rPr>
          <w:rFonts w:hint="default"/>
          <w:color w:val="auto"/>
          <w:lang w:val="it-IT"/>
        </w:rPr>
        <w:t>;</w:t>
      </w:r>
    </w:p>
    <w:p w14:paraId="0188293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>• Regolamento d’Istituto</w:t>
      </w:r>
      <w:r>
        <w:rPr>
          <w:rFonts w:hint="default"/>
          <w:color w:val="auto"/>
          <w:lang w:val="it-IT"/>
        </w:rPr>
        <w:t>;</w:t>
      </w:r>
    </w:p>
    <w:p w14:paraId="5FA176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80"/>
        <w:textAlignment w:val="auto"/>
        <w:rPr>
          <w:color w:val="auto"/>
        </w:rPr>
      </w:pPr>
      <w:r>
        <w:rPr>
          <w:color w:val="auto"/>
        </w:rPr>
        <w:t>• Patto di corresponsabilità educativa.</w:t>
      </w:r>
    </w:p>
    <w:p w14:paraId="50565D53">
      <w:pPr>
        <w:rPr>
          <w:color w:val="auto"/>
        </w:rPr>
      </w:pPr>
      <w:r>
        <w:rPr>
          <w:color w:val="auto"/>
        </w:rPr>
        <w:t xml:space="preserve">L’obiettivo è prevenire e contrastare ogni forma di bullismo e cyberbullismo, </w:t>
      </w:r>
      <w:r>
        <w:rPr>
          <w:rFonts w:hint="default"/>
          <w:color w:val="auto"/>
          <w:lang w:val="it-IT"/>
        </w:rPr>
        <w:t xml:space="preserve">nonché monitorare gli eventi riconducibili a tali fenomeni, </w:t>
      </w:r>
      <w:r>
        <w:rPr>
          <w:color w:val="auto"/>
        </w:rPr>
        <w:t>promuovendo un clima sereno e rispettoso.</w:t>
      </w:r>
    </w:p>
    <w:p w14:paraId="1C4724D4">
      <w:pPr>
        <w:pStyle w:val="2"/>
        <w:rPr>
          <w:color w:val="auto"/>
        </w:rPr>
      </w:pPr>
      <w:r>
        <w:rPr>
          <w:color w:val="auto"/>
        </w:rPr>
        <w:t>2. Ambito di applicazione</w:t>
      </w:r>
    </w:p>
    <w:p w14:paraId="705C8D2A">
      <w:pPr>
        <w:jc w:val="both"/>
        <w:rPr>
          <w:rFonts w:hint="default"/>
          <w:color w:val="auto"/>
          <w:lang w:val="it-IT"/>
        </w:rPr>
      </w:pPr>
      <w:r>
        <w:rPr>
          <w:color w:val="auto"/>
        </w:rPr>
        <w:t>Il Codice si applica a</w:t>
      </w:r>
      <w:r>
        <w:rPr>
          <w:rFonts w:hint="default"/>
          <w:color w:val="auto"/>
          <w:lang w:val="it-IT"/>
        </w:rPr>
        <w:t>ll’intera comunità educante, in ogni forma di interazione tra gli attori coinvolti.</w:t>
      </w:r>
    </w:p>
    <w:p w14:paraId="16D4B950">
      <w:pPr>
        <w:rPr>
          <w:color w:val="auto"/>
        </w:rPr>
      </w:pPr>
    </w:p>
    <w:p w14:paraId="1EF04401">
      <w:pPr>
        <w:pStyle w:val="2"/>
        <w:rPr>
          <w:color w:val="auto"/>
        </w:rPr>
      </w:pPr>
      <w:r>
        <w:rPr>
          <w:color w:val="auto"/>
        </w:rPr>
        <w:t>3. Comportamenti vietati</w:t>
      </w:r>
    </w:p>
    <w:p w14:paraId="026D9B7B">
      <w:pPr>
        <w:rPr>
          <w:rFonts w:hint="default"/>
          <w:color w:val="auto"/>
          <w:lang w:val="it-IT"/>
        </w:rPr>
      </w:pPr>
      <w:r>
        <w:rPr>
          <w:rFonts w:hint="default"/>
          <w:color w:val="auto"/>
          <w:lang w:val="it-IT"/>
        </w:rPr>
        <w:t>A titolo esemplificativo e non esaustivo, nell’alveo delle condotte riconducibili a casi di bullismo o cyberbullismo, si sottolinea il divieto delle seguenti azioni:</w:t>
      </w:r>
    </w:p>
    <w:p w14:paraId="41F26B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a</w:t>
      </w:r>
      <w:r>
        <w:rPr>
          <w:color w:val="auto"/>
        </w:rPr>
        <w:t>ggressioni fisiche o minacce</w:t>
      </w:r>
      <w:r>
        <w:rPr>
          <w:rFonts w:hint="default"/>
          <w:color w:val="auto"/>
          <w:lang w:val="it-IT"/>
        </w:rPr>
        <w:t>;</w:t>
      </w:r>
    </w:p>
    <w:p w14:paraId="0C08ED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i</w:t>
      </w:r>
      <w:r>
        <w:rPr>
          <w:color w:val="auto"/>
        </w:rPr>
        <w:t>nsulti, derisioni, esclusione intenzionale</w:t>
      </w:r>
      <w:r>
        <w:rPr>
          <w:rFonts w:hint="default"/>
          <w:color w:val="auto"/>
          <w:lang w:val="it-IT"/>
        </w:rPr>
        <w:t>;</w:t>
      </w:r>
    </w:p>
    <w:p w14:paraId="4D9714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d</w:t>
      </w:r>
      <w:r>
        <w:rPr>
          <w:color w:val="auto"/>
        </w:rPr>
        <w:t>iffusione di foto, video o audio senza consenso</w:t>
      </w:r>
      <w:r>
        <w:rPr>
          <w:rFonts w:hint="default"/>
          <w:color w:val="auto"/>
          <w:lang w:val="it-IT"/>
        </w:rPr>
        <w:t>;</w:t>
      </w:r>
    </w:p>
    <w:p w14:paraId="380231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cr</w:t>
      </w:r>
      <w:r>
        <w:rPr>
          <w:color w:val="auto"/>
        </w:rPr>
        <w:t>eazione di gruppi online per offendere o isolare</w:t>
      </w:r>
      <w:r>
        <w:rPr>
          <w:rFonts w:hint="default"/>
          <w:color w:val="auto"/>
          <w:lang w:val="it-IT"/>
        </w:rPr>
        <w:t>;</w:t>
      </w:r>
    </w:p>
    <w:p w14:paraId="4738B6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m</w:t>
      </w:r>
      <w:r>
        <w:rPr>
          <w:color w:val="auto"/>
        </w:rPr>
        <w:t>olestie ripetute, stalking online</w:t>
      </w:r>
      <w:r>
        <w:rPr>
          <w:rFonts w:hint="default"/>
          <w:color w:val="auto"/>
          <w:lang w:val="it-IT"/>
        </w:rPr>
        <w:t>;</w:t>
      </w:r>
    </w:p>
    <w:p w14:paraId="65BC5C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p</w:t>
      </w:r>
      <w:r>
        <w:rPr>
          <w:color w:val="auto"/>
        </w:rPr>
        <w:t>ubblicazione di contenuti offensivi o discriminatori</w:t>
      </w:r>
      <w:r>
        <w:rPr>
          <w:rFonts w:hint="default"/>
          <w:color w:val="auto"/>
          <w:lang w:val="it-IT"/>
        </w:rPr>
        <w:t>;</w:t>
      </w:r>
    </w:p>
    <w:p w14:paraId="06395F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rFonts w:hint="default"/>
          <w:color w:val="auto"/>
          <w:lang w:val="it-IT"/>
        </w:rPr>
      </w:pPr>
      <w:r>
        <w:rPr>
          <w:color w:val="auto"/>
        </w:rPr>
        <w:t xml:space="preserve">• </w:t>
      </w:r>
      <w:r>
        <w:rPr>
          <w:rFonts w:hint="default"/>
          <w:color w:val="auto"/>
          <w:lang w:val="it-IT"/>
        </w:rPr>
        <w:t>u</w:t>
      </w:r>
      <w:r>
        <w:rPr>
          <w:color w:val="auto"/>
        </w:rPr>
        <w:t>tilizzo scorretto delle piattaforme digitali scolastiche</w:t>
      </w:r>
      <w:r>
        <w:rPr>
          <w:rFonts w:hint="default"/>
          <w:color w:val="auto"/>
          <w:lang w:val="it-IT"/>
        </w:rPr>
        <w:t>;</w:t>
      </w:r>
    </w:p>
    <w:p w14:paraId="620AFC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20"/>
        <w:textAlignment w:val="auto"/>
        <w:rPr>
          <w:color w:val="auto"/>
        </w:rPr>
      </w:pPr>
      <w:r>
        <w:rPr>
          <w:color w:val="auto"/>
        </w:rPr>
        <w:t>• Impersonificazione o uso fraudolento dell’identità altrui.</w:t>
      </w:r>
    </w:p>
    <w:p w14:paraId="5A770C99">
      <w:pPr>
        <w:pStyle w:val="2"/>
        <w:numPr>
          <w:ilvl w:val="0"/>
          <w:numId w:val="7"/>
        </w:numPr>
        <w:rPr>
          <w:color w:val="auto"/>
        </w:rPr>
      </w:pPr>
      <w:r>
        <w:rPr>
          <w:color w:val="auto"/>
        </w:rPr>
        <w:t>Comportamenti attesi dagli studenti</w:t>
      </w:r>
    </w:p>
    <w:p w14:paraId="45CCA84E">
      <w:pPr>
        <w:numPr>
          <w:numId w:val="0"/>
        </w:numPr>
        <w:jc w:val="both"/>
        <w:rPr>
          <w:color w:val="auto"/>
        </w:rPr>
      </w:pPr>
      <w:r>
        <w:rPr>
          <w:rFonts w:hint="default"/>
          <w:lang w:val="it-IT"/>
        </w:rPr>
        <w:t>Sono attesi, in riferimento allo Statuto delle Studentesse e degli studenti, comportamenti adeguati alle norme di condotta comuni a tutte le istituzioni scolastiche, riportate nel Regolamento di Istituto. A titolo esemplificativo, è richiesta l’osservanza di quanto segue: r</w:t>
      </w:r>
      <w:r>
        <w:rPr>
          <w:color w:val="auto"/>
        </w:rPr>
        <w:t>ispettare compagni, docenti e personale scolastico</w:t>
      </w:r>
      <w:r>
        <w:rPr>
          <w:rFonts w:hint="default"/>
          <w:color w:val="auto"/>
          <w:lang w:val="it-IT"/>
        </w:rPr>
        <w:t>; n</w:t>
      </w:r>
      <w:r>
        <w:rPr>
          <w:color w:val="auto"/>
        </w:rPr>
        <w:t>on diffondere contenuti lesivi, falsi o privati</w:t>
      </w:r>
      <w:r>
        <w:rPr>
          <w:rFonts w:hint="default"/>
          <w:color w:val="auto"/>
          <w:lang w:val="it-IT"/>
        </w:rPr>
        <w:t>; s</w:t>
      </w:r>
      <w:r>
        <w:rPr>
          <w:color w:val="auto"/>
        </w:rPr>
        <w:t xml:space="preserve">egnalare episodi </w:t>
      </w:r>
      <w:r>
        <w:rPr>
          <w:rFonts w:hint="default"/>
          <w:color w:val="auto"/>
          <w:lang w:val="it-IT"/>
        </w:rPr>
        <w:t xml:space="preserve">vessatori </w:t>
      </w:r>
      <w:r>
        <w:rPr>
          <w:color w:val="auto"/>
        </w:rPr>
        <w:t>agli adulti</w:t>
      </w:r>
      <w:r>
        <w:rPr>
          <w:rFonts w:hint="default"/>
          <w:color w:val="auto"/>
          <w:lang w:val="it-IT"/>
        </w:rPr>
        <w:t xml:space="preserve">; favorire </w:t>
      </w:r>
      <w:r>
        <w:rPr>
          <w:color w:val="auto"/>
        </w:rPr>
        <w:t>l’inclusione e la cooperazione.</w:t>
      </w:r>
    </w:p>
    <w:p w14:paraId="165A9F01">
      <w:pPr>
        <w:pStyle w:val="2"/>
        <w:numPr>
          <w:ilvl w:val="0"/>
          <w:numId w:val="7"/>
        </w:numPr>
        <w:ind w:left="0" w:leftChars="0" w:firstLine="0" w:firstLineChars="0"/>
        <w:rPr>
          <w:rFonts w:hint="default"/>
          <w:color w:val="auto"/>
          <w:lang w:val="it-IT"/>
        </w:rPr>
      </w:pPr>
      <w:r>
        <w:rPr>
          <w:color w:val="auto"/>
        </w:rPr>
        <w:t>Comportamenti attesi da</w:t>
      </w:r>
      <w:r>
        <w:rPr>
          <w:rFonts w:hint="default"/>
          <w:color w:val="auto"/>
          <w:lang w:val="it-IT"/>
        </w:rPr>
        <w:t>l personale</w:t>
      </w:r>
    </w:p>
    <w:p w14:paraId="6DA029E0">
      <w:pPr>
        <w:numPr>
          <w:numId w:val="0"/>
        </w:numPr>
        <w:ind w:leftChars="0"/>
        <w:jc w:val="both"/>
        <w:rPr>
          <w:rFonts w:hint="default"/>
          <w:color w:val="auto"/>
          <w:lang w:val="it-IT"/>
        </w:rPr>
      </w:pPr>
      <w:r>
        <w:rPr>
          <w:rFonts w:hint="default"/>
          <w:lang w:val="it-IT"/>
        </w:rPr>
        <w:t>Il personale si impegna alla vig</w:t>
      </w:r>
      <w:r>
        <w:rPr>
          <w:color w:val="auto"/>
        </w:rPr>
        <w:t>ilanza attiva in classe e negli spazi comuni</w:t>
      </w:r>
      <w:r>
        <w:rPr>
          <w:rFonts w:hint="default"/>
          <w:color w:val="auto"/>
          <w:lang w:val="it-IT"/>
        </w:rPr>
        <w:t xml:space="preserve">, all’utilizzo della scheda di segnalazione, alla documentazione puntuale degli episodi, all’attuazione del protocollo antibullismo, alla promozione di un clima positivo ed inclusivo. </w:t>
      </w:r>
    </w:p>
    <w:p w14:paraId="4D0767A7">
      <w:pPr>
        <w:pStyle w:val="2"/>
        <w:rPr>
          <w:color w:val="auto"/>
        </w:rPr>
      </w:pPr>
      <w:r>
        <w:rPr>
          <w:color w:val="auto"/>
        </w:rPr>
        <w:t>6. Comportamenti attesi dalle famiglie</w:t>
      </w:r>
    </w:p>
    <w:p w14:paraId="7CFD2268">
      <w:pPr>
        <w:jc w:val="both"/>
        <w:rPr>
          <w:color w:val="auto"/>
        </w:rPr>
      </w:pPr>
      <w:r>
        <w:rPr>
          <w:rFonts w:hint="default"/>
          <w:color w:val="auto"/>
          <w:lang w:val="it-IT"/>
        </w:rPr>
        <w:t xml:space="preserve">Nell’ottica della sinergica collaborazione tra le parti vincolate dal Patto Educativo di Corresponsabilità, è atteso che le famiglie si impegnino a </w:t>
      </w:r>
      <w:r>
        <w:rPr>
          <w:color w:val="auto"/>
          <w:lang w:val="it-IT"/>
        </w:rPr>
        <w:t>collaborare</w:t>
      </w:r>
      <w:r>
        <w:rPr>
          <w:color w:val="auto"/>
        </w:rPr>
        <w:t xml:space="preserve"> con la scuola nei processi educativi</w:t>
      </w:r>
      <w:r>
        <w:rPr>
          <w:rFonts w:hint="default"/>
          <w:color w:val="auto"/>
          <w:lang w:val="it-IT"/>
        </w:rPr>
        <w:t>, a m</w:t>
      </w:r>
      <w:r>
        <w:rPr>
          <w:color w:val="auto"/>
        </w:rPr>
        <w:t>onitorare l’uso dei dispositivi digitali dei minori</w:t>
      </w:r>
      <w:r>
        <w:rPr>
          <w:rFonts w:hint="default"/>
          <w:color w:val="auto"/>
          <w:lang w:val="it-IT"/>
        </w:rPr>
        <w:t>, a s</w:t>
      </w:r>
      <w:r>
        <w:rPr>
          <w:color w:val="auto"/>
        </w:rPr>
        <w:t>egnalare tempestivamente eventuali episodi</w:t>
      </w:r>
      <w:r>
        <w:rPr>
          <w:rFonts w:hint="default"/>
          <w:color w:val="auto"/>
          <w:lang w:val="it-IT"/>
        </w:rPr>
        <w:t>, a s</w:t>
      </w:r>
      <w:r>
        <w:rPr>
          <w:color w:val="auto"/>
        </w:rPr>
        <w:t>upportare le azioni educative concordate</w:t>
      </w:r>
      <w:r>
        <w:rPr>
          <w:rFonts w:hint="default"/>
          <w:color w:val="auto"/>
          <w:lang w:val="it-IT"/>
        </w:rPr>
        <w:t>, a r</w:t>
      </w:r>
      <w:r>
        <w:rPr>
          <w:color w:val="auto"/>
        </w:rPr>
        <w:t>ispettare il personale scolastico e l’istituzione.</w:t>
      </w:r>
    </w:p>
    <w:p w14:paraId="161DFC6D">
      <w:pPr>
        <w:pStyle w:val="2"/>
        <w:numPr>
          <w:ilvl w:val="0"/>
          <w:numId w:val="7"/>
        </w:numPr>
        <w:ind w:left="0" w:leftChars="0" w:firstLine="0" w:firstLineChars="0"/>
        <w:rPr>
          <w:color w:val="auto"/>
        </w:rPr>
      </w:pPr>
      <w:r>
        <w:rPr>
          <w:color w:val="auto"/>
        </w:rPr>
        <w:t>Conseguenze disciplinari</w:t>
      </w:r>
    </w:p>
    <w:p w14:paraId="1D8A5D4B">
      <w:pPr>
        <w:numPr>
          <w:numId w:val="0"/>
        </w:numPr>
        <w:ind w:leftChars="0"/>
        <w:jc w:val="both"/>
        <w:rPr>
          <w:rFonts w:hint="default"/>
          <w:lang w:val="it-IT"/>
        </w:rPr>
      </w:pPr>
      <w:r>
        <w:rPr>
          <w:rFonts w:hint="default"/>
          <w:lang w:val="it-IT"/>
        </w:rPr>
        <w:t>Ai sensi del DPR 249/98, come modificato dal DPR 235/07, ove ne ricorrano i presupposti si procederà con l’eventuale irrogazione di una sanzione proporzionata alla gravità della condotta, da ricondursi alle modalità tipizzare dalla Nota ministeriale del 31 lugio 2008, n. 3602.</w:t>
      </w:r>
    </w:p>
    <w:p w14:paraId="23440146">
      <w:pPr>
        <w:pStyle w:val="2"/>
        <w:rPr>
          <w:color w:val="auto"/>
        </w:rPr>
      </w:pPr>
      <w:r>
        <w:rPr>
          <w:color w:val="auto"/>
        </w:rPr>
        <w:t>8. Principi di tutela</w:t>
      </w:r>
    </w:p>
    <w:p w14:paraId="35046830">
      <w:pPr>
        <w:jc w:val="both"/>
        <w:rPr>
          <w:color w:val="auto"/>
        </w:rPr>
      </w:pPr>
      <w:r>
        <w:rPr>
          <w:color w:val="auto"/>
        </w:rPr>
        <w:t>La scuola garantisce:</w:t>
      </w:r>
      <w:r>
        <w:rPr>
          <w:rFonts w:hint="default"/>
          <w:color w:val="auto"/>
          <w:lang w:val="it-IT"/>
        </w:rPr>
        <w:t xml:space="preserve"> r</w:t>
      </w:r>
      <w:r>
        <w:rPr>
          <w:color w:val="auto"/>
        </w:rPr>
        <w:t>iservatezza e protezione dei dati (GDPR)</w:t>
      </w:r>
      <w:r>
        <w:rPr>
          <w:rFonts w:hint="default"/>
          <w:color w:val="auto"/>
          <w:lang w:val="it-IT"/>
        </w:rPr>
        <w:t>, s</w:t>
      </w:r>
      <w:r>
        <w:rPr>
          <w:color w:val="auto"/>
        </w:rPr>
        <w:t>upporto psicologico ove disponibile</w:t>
      </w:r>
      <w:r>
        <w:rPr>
          <w:rFonts w:hint="default"/>
          <w:color w:val="auto"/>
          <w:lang w:val="it-IT"/>
        </w:rPr>
        <w:t>, p</w:t>
      </w:r>
      <w:r>
        <w:rPr>
          <w:color w:val="auto"/>
        </w:rPr>
        <w:t>rotezione immediata della vittima</w:t>
      </w:r>
      <w:r>
        <w:rPr>
          <w:rFonts w:hint="default"/>
          <w:color w:val="auto"/>
          <w:lang w:val="it-IT"/>
        </w:rPr>
        <w:t>, c</w:t>
      </w:r>
      <w:r>
        <w:rPr>
          <w:color w:val="auto"/>
        </w:rPr>
        <w:t>olloqui educativi con l’autore</w:t>
      </w:r>
      <w:r>
        <w:rPr>
          <w:rFonts w:hint="default"/>
          <w:color w:val="auto"/>
          <w:lang w:val="it-IT"/>
        </w:rPr>
        <w:t>, m</w:t>
      </w:r>
      <w:r>
        <w:rPr>
          <w:color w:val="auto"/>
        </w:rPr>
        <w:t>onitoraggio continuativo delle situazioni a rischio.</w:t>
      </w:r>
    </w:p>
    <w:p w14:paraId="051DC951">
      <w:pPr>
        <w:pStyle w:val="2"/>
        <w:rPr>
          <w:color w:val="auto"/>
        </w:rPr>
      </w:pPr>
      <w:r>
        <w:rPr>
          <w:color w:val="auto"/>
        </w:rPr>
        <w:t>9. Obblighi digitali</w:t>
      </w:r>
      <w:bookmarkStart w:id="0" w:name="_GoBack"/>
      <w:bookmarkEnd w:id="0"/>
    </w:p>
    <w:p w14:paraId="483AB9F9">
      <w:pPr>
        <w:jc w:val="both"/>
        <w:rPr>
          <w:rFonts w:hint="default"/>
          <w:color w:val="auto"/>
          <w:lang w:val="it-IT"/>
        </w:rPr>
      </w:pPr>
      <w:r>
        <w:rPr>
          <w:rFonts w:hint="default"/>
          <w:color w:val="auto"/>
          <w:lang w:val="it-IT"/>
        </w:rPr>
        <w:t xml:space="preserve">Gli utenti delle piattaforme scolastiche devono rispettare un’opportuna netiquette di comunicazione, non condividere materiale se non a fini didattici o informativi, rispettare i principi generali delle norme sulla tutela della privacy. </w:t>
      </w:r>
    </w:p>
    <w:p w14:paraId="597D683D">
      <w:pPr>
        <w:pStyle w:val="2"/>
        <w:rPr>
          <w:color w:val="auto"/>
        </w:rPr>
      </w:pPr>
      <w:r>
        <w:rPr>
          <w:color w:val="auto"/>
        </w:rPr>
        <w:t>10. Entrata in vigore e revisione</w:t>
      </w:r>
    </w:p>
    <w:p w14:paraId="277E19DB">
      <w:pPr>
        <w:jc w:val="both"/>
        <w:rPr>
          <w:rFonts w:hint="default"/>
          <w:color w:val="auto"/>
          <w:lang w:val="it-IT"/>
        </w:rPr>
      </w:pPr>
      <w:r>
        <w:rPr>
          <w:color w:val="auto"/>
        </w:rPr>
        <w:t>Il presente Codice di Condotta è approvato dal Collegio dei Docenti e dal Consiglio d’Istituto.</w:t>
      </w:r>
      <w:r>
        <w:rPr>
          <w:rFonts w:hint="default"/>
          <w:color w:val="auto"/>
          <w:lang w:val="it-IT"/>
        </w:rPr>
        <w:t xml:space="preserve"> </w:t>
      </w:r>
      <w:r>
        <w:rPr>
          <w:color w:val="auto"/>
        </w:rPr>
        <w:t xml:space="preserve">È </w:t>
      </w:r>
      <w:r>
        <w:rPr>
          <w:rFonts w:hint="default"/>
          <w:color w:val="auto"/>
          <w:lang w:val="it-IT"/>
        </w:rPr>
        <w:t xml:space="preserve">oggetto di revisione ove se ne ravveda la necessità in termini di aggiornamento o di adeguamento a sopraggiunti dispositivi normativi. </w:t>
      </w:r>
    </w:p>
    <w:sectPr>
      <w:pgSz w:w="12240" w:h="15840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汉仪书宋二KW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苹方-简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Book Antiqua">
    <w:altName w:val="苹方-简"/>
    <w:panose1 w:val="02040602050305030304"/>
    <w:charset w:val="00"/>
    <w:family w:val="roman"/>
    <w:pitch w:val="default"/>
    <w:sig w:usb0="00000000" w:usb1="00000000" w:usb2="00000000" w:usb3="00000000" w:csb0="0000009F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FBCB088"/>
    <w:multiLevelType w:val="singleLevel"/>
    <w:tmpl w:val="1FBCB088"/>
    <w:lvl w:ilvl="0" w:tentative="0">
      <w:start w:val="4"/>
      <w:numFmt w:val="decimal"/>
      <w:suff w:val="space"/>
      <w:lvlText w:val="%1.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cumentProtection w:enforcement="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23BBF"/>
    <w:rsid w:val="00C85BAB"/>
    <w:rsid w:val="00CB0664"/>
    <w:rsid w:val="00D97D00"/>
    <w:rsid w:val="00F609EC"/>
    <w:rsid w:val="00FC693F"/>
    <w:rsid w:val="3DFC5447"/>
    <w:rsid w:val="3F9E84AC"/>
    <w:rsid w:val="4FF63FB0"/>
    <w:rsid w:val="7B3F101D"/>
    <w:rsid w:val="BDFE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Intestazione Carattere"/>
    <w:basedOn w:val="11"/>
    <w:link w:val="19"/>
    <w:uiPriority w:val="99"/>
  </w:style>
  <w:style w:type="character" w:customStyle="1" w:styleId="136">
    <w:name w:val="Piè di pagina Carattere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Titolo 1 Carattere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Titolo 2 Carattere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Titolo 3 Carattere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olo Carattere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ottotitolo Carattere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Corpo testo Carattere"/>
    <w:basedOn w:val="11"/>
    <w:link w:val="13"/>
    <w:uiPriority w:val="99"/>
  </w:style>
  <w:style w:type="character" w:customStyle="1" w:styleId="145">
    <w:name w:val="Corpo del testo 2 Carattere"/>
    <w:basedOn w:val="11"/>
    <w:link w:val="14"/>
    <w:uiPriority w:val="99"/>
  </w:style>
  <w:style w:type="character" w:customStyle="1" w:styleId="146">
    <w:name w:val="Corpo del testo 3 Carattere"/>
    <w:basedOn w:val="11"/>
    <w:link w:val="15"/>
    <w:qFormat/>
    <w:uiPriority w:val="99"/>
    <w:rPr>
      <w:sz w:val="16"/>
      <w:szCs w:val="16"/>
    </w:rPr>
  </w:style>
  <w:style w:type="character" w:customStyle="1" w:styleId="147">
    <w:name w:val="Testo macro Carattere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itazione Carattere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Titolo 4 Carattere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Titolo 5 Carattere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Titolo 6 Carattere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Titolo 7 Carattere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Titolo 8 Carattere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Titolo 9 Carattere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itazione intensa Carattere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558</Words>
  <Characters>3185</Characters>
  <Lines>26</Lines>
  <Paragraphs>7</Paragraphs>
  <TotalTime>13</TotalTime>
  <ScaleCrop>false</ScaleCrop>
  <LinksUpToDate>false</LinksUpToDate>
  <CharactersWithSpaces>3736</CharactersWithSpaces>
  <Application>WPS Office_12.1.23152.23152_F1E327BC-269C-435d-A152-05C5408002CA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2025-11-20T21:44:00Z</dcterms:created>
  <dc:creator>python-docx</dc:creator>
  <dc:description>generated by python-docx</dc:description>
  <cp:lastModifiedBy>WPS_1718168946</cp:lastModifiedBy>
  <dcterms:modified xsi:type="dcterms:W3CDTF">2025-12-05T21:21:26Z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1033-12.1.23152.23152</vt:lpwstr>
  </property>
  <property fmtid="{D5CDD505-2E9C-101B-9397-08002B2CF9AE}" pid="3" name="ICV">
    <vt:lpwstr>ADA758DA1A8395911F38336971D53C9F_42</vt:lpwstr>
  </property>
</Properties>
</file>